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pageBreakBefore w:val="0"/>
        <w:pBdr>
          <w:top w:space="0" w:sz="0" w:val="nil"/>
          <w:left w:space="0" w:sz="0" w:val="nil"/>
          <w:bottom w:space="0" w:sz="0" w:val="nil"/>
          <w:right w:space="0" w:sz="0" w:val="nil"/>
          <w:between w:space="0" w:sz="0" w:val="nil"/>
        </w:pBdr>
        <w:shd w:fill="auto" w:val="clear"/>
        <w:spacing w:after="0" w:before="0" w:line="288" w:lineRule="auto"/>
        <w:rPr>
          <w:rFonts w:ascii="Open Sans" w:cs="Open Sans" w:eastAsia="Open Sans" w:hAnsi="Open Sans"/>
          <w:color w:val="695d46"/>
          <w:sz w:val="24"/>
          <w:szCs w:val="24"/>
        </w:rPr>
      </w:pPr>
      <w:bookmarkStart w:colFirst="0" w:colLast="0" w:name="_z6ne0og04bp5" w:id="0"/>
      <w:bookmarkEnd w:id="0"/>
      <w:r w:rsidDel="00000000" w:rsidR="00000000" w:rsidRPr="00000000">
        <w:rPr>
          <w:rFonts w:ascii="Open Sans" w:cs="Open Sans" w:eastAsia="Open Sans" w:hAnsi="Open Sans"/>
          <w:color w:val="695d46"/>
          <w:sz w:val="24"/>
          <w:szCs w:val="24"/>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6357938" cy="3532188"/>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357938" cy="353218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rPr/>
      </w:pPr>
      <w:bookmarkStart w:colFirst="0" w:colLast="0" w:name="_2gazcsgmxkub" w:id="1"/>
      <w:bookmarkEnd w:id="1"/>
      <w:r w:rsidDel="00000000" w:rsidR="00000000" w:rsidRPr="00000000">
        <w:rPr>
          <w:rtl w:val="0"/>
        </w:rPr>
        <w:t xml:space="preserve">Protège-gouttières</w:t>
      </w:r>
    </w:p>
    <w:p w:rsidR="00000000" w:rsidDel="00000000" w:rsidP="00000000" w:rsidRDefault="00000000" w:rsidRPr="00000000" w14:paraId="00000004">
      <w:pPr>
        <w:rPr>
          <w:sz w:val="36"/>
          <w:szCs w:val="36"/>
        </w:rPr>
      </w:pPr>
      <w:r w:rsidDel="00000000" w:rsidR="00000000" w:rsidRPr="00000000">
        <w:rPr>
          <w:sz w:val="36"/>
          <w:szCs w:val="36"/>
          <w:rtl w:val="0"/>
        </w:rPr>
        <w:t xml:space="preserve">Golden Guard est le produit que Solution T.D Inc utilise pour ces installations.</w:t>
      </w:r>
    </w:p>
    <w:p w:rsidR="00000000" w:rsidDel="00000000" w:rsidP="00000000" w:rsidRDefault="00000000" w:rsidRPr="00000000" w14:paraId="00000005">
      <w:pPr>
        <w:rPr>
          <w:sz w:val="36"/>
          <w:szCs w:val="36"/>
        </w:rPr>
      </w:pPr>
      <w:r w:rsidDel="00000000" w:rsidR="00000000" w:rsidRPr="00000000">
        <w:rPr>
          <w:rtl w:val="0"/>
        </w:rPr>
      </w:r>
    </w:p>
    <w:p w:rsidR="00000000" w:rsidDel="00000000" w:rsidP="00000000" w:rsidRDefault="00000000" w:rsidRPr="00000000" w14:paraId="00000006">
      <w:pPr>
        <w:pStyle w:val="Subtitle"/>
        <w:pageBreakBefore w:val="0"/>
        <w:rPr/>
      </w:pPr>
      <w:bookmarkStart w:colFirst="0" w:colLast="0" w:name="_2k3y408uq5v" w:id="2"/>
      <w:bookmarkEnd w:id="2"/>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1440" w:before="0" w:line="288" w:lineRule="auto"/>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color w:val="008575"/>
          <w:sz w:val="32"/>
          <w:szCs w:val="32"/>
          <w:rtl w:val="0"/>
        </w:rPr>
        <w:t xml:space="preserve">Solution T.D Inc</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1882 rue borduas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Sainte-Julie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Entretient.d1@gmail.com</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E">
      <w:pPr>
        <w:pStyle w:val="Heading1"/>
        <w:pageBreakBefore w:val="0"/>
        <w:pBdr>
          <w:top w:space="0" w:sz="0" w:val="nil"/>
          <w:left w:space="0" w:sz="0" w:val="nil"/>
          <w:bottom w:space="0" w:sz="0" w:val="nil"/>
          <w:right w:space="0" w:sz="0" w:val="nil"/>
          <w:between w:space="0" w:sz="0" w:val="nil"/>
        </w:pBdr>
        <w:shd w:fill="auto" w:val="clear"/>
        <w:rPr>
          <w:color w:val="00d4ff"/>
        </w:rPr>
      </w:pPr>
      <w:bookmarkStart w:colFirst="0" w:colLast="0" w:name="_4p7xi5bvhxdr" w:id="3"/>
      <w:bookmarkEnd w:id="3"/>
      <w:r w:rsidDel="00000000" w:rsidR="00000000" w:rsidRPr="00000000">
        <w:rPr>
          <w:color w:val="00d4ff"/>
          <w:rtl w:val="0"/>
        </w:rPr>
        <w:t xml:space="preserve">Produit</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231f20"/>
          <w:sz w:val="21"/>
          <w:szCs w:val="21"/>
          <w:highlight w:val="white"/>
          <w:rtl w:val="0"/>
        </w:rPr>
        <w:t xml:space="preserve">Le Golden Guard</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est le système de protection de gouttières le plus efficace sur le marché. Sans un protège-gouttières, les feuilles et les débris bouchent la gouttière et empêchent l'eau de s'évacuer normalement. Lorsqu'il pleut, l'eau infiltrera la résidence puisqu'elle ne peut s'évacuer normalement. Avec le Golden Guard</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les feuilles et les débris ne peuvent pas boucher la gouttière. L'eau s'évacue donc normalement, évitant les problèmes d'infiltration d'eau.</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Style w:val="Heading1"/>
        <w:pageBreakBefore w:val="0"/>
        <w:pBdr>
          <w:top w:space="0" w:sz="0" w:val="nil"/>
          <w:left w:space="0" w:sz="0" w:val="nil"/>
          <w:bottom w:space="0" w:sz="0" w:val="nil"/>
          <w:right w:space="0" w:sz="0" w:val="nil"/>
          <w:between w:space="0" w:sz="0" w:val="nil"/>
        </w:pBdr>
        <w:shd w:fill="auto" w:val="clear"/>
        <w:rPr>
          <w:color w:val="00d4ff"/>
        </w:rPr>
      </w:pPr>
      <w:bookmarkStart w:colFirst="0" w:colLast="0" w:name="_yyrhu7ml5bea" w:id="4"/>
      <w:bookmarkEnd w:id="4"/>
      <w:r w:rsidDel="00000000" w:rsidR="00000000" w:rsidRPr="00000000">
        <w:rPr>
          <w:color w:val="00d4ff"/>
          <w:rtl w:val="0"/>
        </w:rPr>
        <w:t xml:space="preserve">Avantages</w:t>
      </w:r>
    </w:p>
    <w:p w:rsidR="00000000" w:rsidDel="00000000" w:rsidP="00000000" w:rsidRDefault="00000000" w:rsidRPr="00000000" w14:paraId="00000012">
      <w:pPr>
        <w:pageBreakBefore w:val="0"/>
        <w:numPr>
          <w:ilvl w:val="0"/>
          <w:numId w:val="3"/>
        </w:numPr>
        <w:pBdr>
          <w:top w:space="0" w:sz="0" w:val="nil"/>
          <w:left w:space="0" w:sz="0" w:val="nil"/>
          <w:bottom w:space="0" w:sz="0" w:val="nil"/>
          <w:right w:space="0" w:sz="0" w:val="nil"/>
          <w:between w:space="0" w:sz="0" w:val="nil"/>
        </w:pBdr>
        <w:shd w:fill="auto" w:val="clear"/>
        <w:ind w:left="1440" w:hanging="360"/>
        <w:rPr>
          <w:rFonts w:ascii="Arial" w:cs="Arial" w:eastAsia="Arial" w:hAnsi="Arial"/>
          <w:color w:val="231f20"/>
          <w:highlight w:val="white"/>
          <w:u w:val="none"/>
        </w:rPr>
      </w:pPr>
      <w:r w:rsidDel="00000000" w:rsidR="00000000" w:rsidRPr="00000000">
        <w:rPr>
          <w:rFonts w:ascii="Arial" w:cs="Arial" w:eastAsia="Arial" w:hAnsi="Arial"/>
          <w:color w:val="231f20"/>
          <w:sz w:val="21"/>
          <w:szCs w:val="21"/>
          <w:highlight w:val="white"/>
          <w:rtl w:val="0"/>
        </w:rPr>
        <w:t xml:space="preserve">Le Golden Guard</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permet aux gouttières de fonctionner normalement pendant toute l'année. Une gouttière bouchée par la neige et la glace est non-fonctionnelle en hiver. Lors de pluies ou d'un redoux des températures, l'eau s'infiltrera dans la résidence puisqu'elle ne peut s'évacuer par la gouttière. Avec le Golden Guard</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la neige et la glace reste sur le dessus du produit, conservant la gouttière fonctionnelle en tout temps. Lors de pluies ou d'un redoux des températures, l'eau est évacuée normalement par la gouttière.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1440" w:firstLine="0"/>
        <w:rPr>
          <w:rFonts w:ascii="Arial" w:cs="Arial" w:eastAsia="Arial" w:hAnsi="Arial"/>
          <w:color w:val="231f20"/>
          <w:sz w:val="21"/>
          <w:szCs w:val="21"/>
          <w:highlight w:val="white"/>
        </w:rPr>
      </w:pPr>
      <w:r w:rsidDel="00000000" w:rsidR="00000000" w:rsidRPr="00000000">
        <w:rPr>
          <w:rtl w:val="0"/>
        </w:rPr>
      </w:r>
    </w:p>
    <w:p w:rsidR="00000000" w:rsidDel="00000000" w:rsidP="00000000" w:rsidRDefault="00000000" w:rsidRPr="00000000" w14:paraId="00000014">
      <w:pPr>
        <w:pageBreakBefore w:val="0"/>
        <w:numPr>
          <w:ilvl w:val="0"/>
          <w:numId w:val="3"/>
        </w:numPr>
        <w:pBdr>
          <w:top w:space="0" w:sz="0" w:val="nil"/>
          <w:left w:space="0" w:sz="0" w:val="nil"/>
          <w:bottom w:space="0" w:sz="0" w:val="nil"/>
          <w:right w:space="0" w:sz="0" w:val="nil"/>
          <w:between w:space="0" w:sz="0" w:val="nil"/>
        </w:pBdr>
        <w:shd w:fill="auto" w:val="clear"/>
        <w:ind w:left="1440" w:hanging="360"/>
        <w:rPr>
          <w:rFonts w:ascii="Arial" w:cs="Arial" w:eastAsia="Arial" w:hAnsi="Arial"/>
          <w:color w:val="231f20"/>
          <w:sz w:val="21"/>
          <w:szCs w:val="21"/>
          <w:highlight w:val="white"/>
          <w:u w:val="none"/>
        </w:rPr>
      </w:pPr>
      <w:r w:rsidDel="00000000" w:rsidR="00000000" w:rsidRPr="00000000">
        <w:rPr>
          <w:rFonts w:ascii="Arial" w:cs="Arial" w:eastAsia="Arial" w:hAnsi="Arial"/>
          <w:color w:val="231f20"/>
          <w:sz w:val="21"/>
          <w:szCs w:val="21"/>
          <w:highlight w:val="white"/>
          <w:rtl w:val="0"/>
        </w:rPr>
        <w:t xml:space="preserve">La neige, la glace et les débris peuvent déplacer les produits de moins bonne qualité. Ils devront être replacés jusqu'à plusieurs fois par année. Le Golden Guard</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est fait d'aluminium résistant et est vissé à l'avant de la gouttière afin de s'assurer qu'il demeurera en place saison après saison. Le Golden Guard</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ne rouillera pas, ne s'écaillera pas et est recyclable.</w:t>
      </w:r>
    </w:p>
    <w:p w:rsidR="00000000" w:rsidDel="00000000" w:rsidP="00000000" w:rsidRDefault="00000000" w:rsidRPr="00000000" w14:paraId="00000015">
      <w:pPr>
        <w:ind w:left="1440" w:firstLine="0"/>
        <w:rPr>
          <w:rFonts w:ascii="Arial" w:cs="Arial" w:eastAsia="Arial" w:hAnsi="Arial"/>
          <w:color w:val="231f20"/>
          <w:sz w:val="21"/>
          <w:szCs w:val="21"/>
          <w:highlight w:val="white"/>
        </w:rPr>
      </w:pPr>
      <w:r w:rsidDel="00000000" w:rsidR="00000000" w:rsidRPr="00000000">
        <w:rPr>
          <w:rFonts w:ascii="Arial" w:cs="Arial" w:eastAsia="Arial" w:hAnsi="Arial"/>
          <w:color w:val="231f20"/>
          <w:sz w:val="21"/>
          <w:szCs w:val="21"/>
          <w:highlight w:val="white"/>
          <w:rtl w:val="0"/>
        </w:rPr>
        <w:t xml:space="preserve">Le Golden Guard</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peut drainer presque 3 fois plus d'eau que le plus gros orage jamais enregistré. Soyez vigilants aux autres produits ayant de plus gros trous. Ils permettent à une grande quantité de débris de pénétrer dans la gouttière.Les débris peuvent également demeurer coincés dans les autres produits. Les petits trous du Golden Guard</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peuvent drainer efficacement tout orage sans jamais déborder.Aussi, la technologie Roll-Back</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sur le Golden Guard</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retient l'eau à l'intérieur de la gouttière lorsqu'une pluie abondante descend du toit.</w:t>
      </w:r>
    </w:p>
    <w:p w:rsidR="00000000" w:rsidDel="00000000" w:rsidP="00000000" w:rsidRDefault="00000000" w:rsidRPr="00000000" w14:paraId="00000016">
      <w:pPr>
        <w:ind w:left="720" w:firstLine="0"/>
        <w:rPr>
          <w:rFonts w:ascii="Arial" w:cs="Arial" w:eastAsia="Arial" w:hAnsi="Arial"/>
          <w:color w:val="231f20"/>
          <w:sz w:val="21"/>
          <w:szCs w:val="21"/>
          <w:highlight w:val="white"/>
        </w:rPr>
      </w:pPr>
      <w:r w:rsidDel="00000000" w:rsidR="00000000" w:rsidRPr="00000000">
        <w:rPr>
          <w:rtl w:val="0"/>
        </w:rPr>
      </w:r>
    </w:p>
    <w:p w:rsidR="00000000" w:rsidDel="00000000" w:rsidP="00000000" w:rsidRDefault="00000000" w:rsidRPr="00000000" w14:paraId="00000017">
      <w:pPr>
        <w:ind w:left="720" w:firstLine="0"/>
        <w:rPr>
          <w:rFonts w:ascii="Arial" w:cs="Arial" w:eastAsia="Arial" w:hAnsi="Arial"/>
          <w:color w:val="231f20"/>
          <w:sz w:val="21"/>
          <w:szCs w:val="21"/>
          <w:highlight w:val="white"/>
        </w:rPr>
      </w:pPr>
      <w:r w:rsidDel="00000000" w:rsidR="00000000" w:rsidRPr="00000000">
        <w:rPr>
          <w:rtl w:val="0"/>
        </w:rPr>
      </w:r>
    </w:p>
    <w:p w:rsidR="00000000" w:rsidDel="00000000" w:rsidP="00000000" w:rsidRDefault="00000000" w:rsidRPr="00000000" w14:paraId="00000018">
      <w:pPr>
        <w:ind w:left="720" w:firstLine="0"/>
        <w:rPr>
          <w:rFonts w:ascii="Arial" w:cs="Arial" w:eastAsia="Arial" w:hAnsi="Arial"/>
          <w:color w:val="231f20"/>
          <w:sz w:val="21"/>
          <w:szCs w:val="21"/>
          <w:highlight w:val="white"/>
        </w:rPr>
      </w:pPr>
      <w:r w:rsidDel="00000000" w:rsidR="00000000" w:rsidRPr="00000000">
        <w:rPr>
          <w:rtl w:val="0"/>
        </w:rPr>
      </w:r>
    </w:p>
    <w:p w:rsidR="00000000" w:rsidDel="00000000" w:rsidP="00000000" w:rsidRDefault="00000000" w:rsidRPr="00000000" w14:paraId="00000019">
      <w:pPr>
        <w:ind w:left="720" w:firstLine="0"/>
        <w:rPr>
          <w:rFonts w:ascii="Arial" w:cs="Arial" w:eastAsia="Arial" w:hAnsi="Arial"/>
          <w:color w:val="231f20"/>
          <w:sz w:val="21"/>
          <w:szCs w:val="21"/>
          <w:highlight w:val="white"/>
        </w:rPr>
      </w:pPr>
      <w:r w:rsidDel="00000000" w:rsidR="00000000" w:rsidRPr="00000000">
        <w:rPr>
          <w:rtl w:val="0"/>
        </w:rPr>
      </w:r>
    </w:p>
    <w:p w:rsidR="00000000" w:rsidDel="00000000" w:rsidP="00000000" w:rsidRDefault="00000000" w:rsidRPr="00000000" w14:paraId="0000001A">
      <w:pPr>
        <w:pStyle w:val="Heading1"/>
        <w:rPr>
          <w:rFonts w:ascii="Arial" w:cs="Arial" w:eastAsia="Arial" w:hAnsi="Arial"/>
          <w:color w:val="00d4ff"/>
          <w:sz w:val="21"/>
          <w:szCs w:val="21"/>
          <w:highlight w:val="white"/>
        </w:rPr>
      </w:pPr>
      <w:bookmarkStart w:colFirst="0" w:colLast="0" w:name="_6yvid245zcyg" w:id="5"/>
      <w:bookmarkEnd w:id="5"/>
      <w:r w:rsidDel="00000000" w:rsidR="00000000" w:rsidRPr="00000000">
        <w:rPr>
          <w:color w:val="00d4ff"/>
          <w:rtl w:val="0"/>
        </w:rPr>
        <w:t xml:space="preserve">Avantages(suites)</w:t>
      </w:r>
      <w:r w:rsidDel="00000000" w:rsidR="00000000" w:rsidRPr="00000000">
        <w:rPr>
          <w:rtl w:val="0"/>
        </w:rPr>
      </w:r>
    </w:p>
    <w:p w:rsidR="00000000" w:rsidDel="00000000" w:rsidP="00000000" w:rsidRDefault="00000000" w:rsidRPr="00000000" w14:paraId="0000001B">
      <w:pPr>
        <w:numPr>
          <w:ilvl w:val="0"/>
          <w:numId w:val="1"/>
        </w:numPr>
        <w:ind w:left="1440" w:hanging="360"/>
        <w:rPr>
          <w:rFonts w:ascii="Arial" w:cs="Arial" w:eastAsia="Arial" w:hAnsi="Arial"/>
          <w:color w:val="231f20"/>
          <w:highlight w:val="white"/>
          <w:u w:val="none"/>
        </w:rPr>
      </w:pPr>
      <w:r w:rsidDel="00000000" w:rsidR="00000000" w:rsidRPr="00000000">
        <w:rPr>
          <w:rFonts w:ascii="Arial" w:cs="Arial" w:eastAsia="Arial" w:hAnsi="Arial"/>
          <w:color w:val="231f20"/>
          <w:sz w:val="21"/>
          <w:szCs w:val="21"/>
          <w:highlight w:val="white"/>
          <w:rtl w:val="0"/>
        </w:rPr>
        <w:t xml:space="preserve">Le Golden Guard</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est muni de la technologie Flex-Seal</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une bande de plastique unique et brevetée qui scelle parfaitement l'arrière de la gouttière.L'avant du produit est vissé à la gouttière empêchant ainsi les débris de pénétrer.Finalement, chaque section de produit et de coin est chevauchée de façon parfaitement scellée afin d'empêcher les débris de passer.</w:t>
      </w:r>
    </w:p>
    <w:p w:rsidR="00000000" w:rsidDel="00000000" w:rsidP="00000000" w:rsidRDefault="00000000" w:rsidRPr="00000000" w14:paraId="0000001C">
      <w:pPr>
        <w:rPr>
          <w:rFonts w:ascii="Arial" w:cs="Arial" w:eastAsia="Arial" w:hAnsi="Arial"/>
          <w:color w:val="231f20"/>
          <w:sz w:val="21"/>
          <w:szCs w:val="21"/>
          <w:highlight w:val="white"/>
        </w:rPr>
      </w:pPr>
      <w:r w:rsidDel="00000000" w:rsidR="00000000" w:rsidRPr="00000000">
        <w:rPr>
          <w:rtl w:val="0"/>
        </w:rPr>
      </w:r>
    </w:p>
    <w:p w:rsidR="00000000" w:rsidDel="00000000" w:rsidP="00000000" w:rsidRDefault="00000000" w:rsidRPr="00000000" w14:paraId="0000001D">
      <w:pPr>
        <w:rPr>
          <w:rFonts w:ascii="Arial" w:cs="Arial" w:eastAsia="Arial" w:hAnsi="Arial"/>
          <w:color w:val="231f20"/>
          <w:sz w:val="21"/>
          <w:szCs w:val="21"/>
          <w:highlight w:val="white"/>
        </w:rPr>
      </w:pPr>
      <w:r w:rsidDel="00000000" w:rsidR="00000000" w:rsidRPr="00000000">
        <w:rPr>
          <w:rtl w:val="0"/>
        </w:rPr>
      </w:r>
    </w:p>
    <w:p w:rsidR="00000000" w:rsidDel="00000000" w:rsidP="00000000" w:rsidRDefault="00000000" w:rsidRPr="00000000" w14:paraId="0000001E">
      <w:pPr>
        <w:pStyle w:val="Heading1"/>
        <w:rPr>
          <w:color w:val="00d4ff"/>
        </w:rPr>
      </w:pPr>
      <w:bookmarkStart w:colFirst="0" w:colLast="0" w:name="_8twc9m4nemos" w:id="6"/>
      <w:bookmarkEnd w:id="6"/>
      <w:r w:rsidDel="00000000" w:rsidR="00000000" w:rsidRPr="00000000">
        <w:rPr>
          <w:color w:val="00d4ff"/>
          <w:rtl w:val="0"/>
        </w:rPr>
        <w:t xml:space="preserve">Caractéristique</w:t>
      </w:r>
    </w:p>
    <w:p w:rsidR="00000000" w:rsidDel="00000000" w:rsidP="00000000" w:rsidRDefault="00000000" w:rsidRPr="00000000" w14:paraId="0000001F">
      <w:pPr>
        <w:numPr>
          <w:ilvl w:val="0"/>
          <w:numId w:val="2"/>
        </w:numPr>
        <w:ind w:left="720" w:hanging="360"/>
        <w:rPr>
          <w:u w:val="none"/>
        </w:rPr>
      </w:pPr>
      <w:r w:rsidDel="00000000" w:rsidR="00000000" w:rsidRPr="00000000">
        <w:rPr>
          <w:rFonts w:ascii="Arial" w:cs="Arial" w:eastAsia="Arial" w:hAnsi="Arial"/>
          <w:color w:val="231f20"/>
          <w:sz w:val="21"/>
          <w:szCs w:val="21"/>
          <w:highlight w:val="white"/>
          <w:rtl w:val="0"/>
        </w:rPr>
        <w:t xml:space="preserve">Le Golden Guard</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est fait d'aluminium résistant et est vissé à l'avant de la gouttière afin de s'assurer qu'il demeurera en place saison après saison. Le Golden Guard</w:t>
      </w:r>
      <w:r w:rsidDel="00000000" w:rsidR="00000000" w:rsidRPr="00000000">
        <w:rPr>
          <w:rFonts w:ascii="Arial" w:cs="Arial" w:eastAsia="Arial" w:hAnsi="Arial"/>
          <w:color w:val="231f20"/>
          <w:sz w:val="26"/>
          <w:szCs w:val="26"/>
          <w:highlight w:val="white"/>
          <w:vertAlign w:val="superscript"/>
          <w:rtl w:val="0"/>
        </w:rPr>
        <w:t xml:space="preserve">MC</w:t>
      </w:r>
      <w:r w:rsidDel="00000000" w:rsidR="00000000" w:rsidRPr="00000000">
        <w:rPr>
          <w:rFonts w:ascii="Arial" w:cs="Arial" w:eastAsia="Arial" w:hAnsi="Arial"/>
          <w:color w:val="231f20"/>
          <w:sz w:val="21"/>
          <w:szCs w:val="21"/>
          <w:highlight w:val="white"/>
          <w:rtl w:val="0"/>
        </w:rPr>
        <w:t xml:space="preserve"> ne rouillera pas, ne s'écaillera pas et est recyclable.</w:t>
      </w:r>
    </w:p>
    <w:p w:rsidR="00000000" w:rsidDel="00000000" w:rsidP="00000000" w:rsidRDefault="00000000" w:rsidRPr="00000000" w14:paraId="00000020">
      <w:pPr>
        <w:rPr>
          <w:rFonts w:ascii="Arial" w:cs="Arial" w:eastAsia="Arial" w:hAnsi="Arial"/>
          <w:color w:val="231f20"/>
          <w:sz w:val="21"/>
          <w:szCs w:val="21"/>
          <w:highlight w:val="white"/>
        </w:rPr>
      </w:pPr>
      <w:r w:rsidDel="00000000" w:rsidR="00000000" w:rsidRPr="00000000">
        <w:rPr>
          <w:rtl w:val="0"/>
        </w:rPr>
      </w:r>
    </w:p>
    <w:p w:rsidR="00000000" w:rsidDel="00000000" w:rsidP="00000000" w:rsidRDefault="00000000" w:rsidRPr="00000000" w14:paraId="00000021">
      <w:pPr>
        <w:rPr>
          <w:rFonts w:ascii="Arial" w:cs="Arial" w:eastAsia="Arial" w:hAnsi="Arial"/>
          <w:color w:val="231f20"/>
          <w:sz w:val="21"/>
          <w:szCs w:val="21"/>
          <w:highlight w:val="white"/>
        </w:rPr>
      </w:pPr>
      <w:r w:rsidDel="00000000" w:rsidR="00000000" w:rsidRPr="00000000">
        <w:rPr>
          <w:rtl w:val="0"/>
        </w:rPr>
      </w:r>
    </w:p>
    <w:p w:rsidR="00000000" w:rsidDel="00000000" w:rsidP="00000000" w:rsidRDefault="00000000" w:rsidRPr="00000000" w14:paraId="00000022">
      <w:pPr>
        <w:rPr>
          <w:rFonts w:ascii="Arial" w:cs="Arial" w:eastAsia="Arial" w:hAnsi="Arial"/>
          <w:color w:val="231f20"/>
          <w:sz w:val="21"/>
          <w:szCs w:val="21"/>
          <w:highlight w:val="white"/>
        </w:rPr>
      </w:pPr>
      <w:r w:rsidDel="00000000" w:rsidR="00000000" w:rsidRPr="00000000">
        <w:rPr>
          <w:rtl w:val="0"/>
        </w:rPr>
      </w:r>
    </w:p>
    <w:p w:rsidR="00000000" w:rsidDel="00000000" w:rsidP="00000000" w:rsidRDefault="00000000" w:rsidRPr="00000000" w14:paraId="00000023">
      <w:pPr>
        <w:rPr>
          <w:rFonts w:ascii="Arial" w:cs="Arial" w:eastAsia="Arial" w:hAnsi="Arial"/>
          <w:color w:val="231f20"/>
          <w:sz w:val="21"/>
          <w:szCs w:val="21"/>
          <w:highlight w:val="white"/>
        </w:rPr>
      </w:pPr>
      <w:r w:rsidDel="00000000" w:rsidR="00000000" w:rsidRPr="00000000">
        <w:rPr>
          <w:rtl w:val="0"/>
        </w:rPr>
      </w:r>
    </w:p>
    <w:p w:rsidR="00000000" w:rsidDel="00000000" w:rsidP="00000000" w:rsidRDefault="00000000" w:rsidRPr="00000000" w14:paraId="00000024">
      <w:pPr>
        <w:pStyle w:val="Heading1"/>
        <w:rPr/>
      </w:pPr>
      <w:bookmarkStart w:colFirst="0" w:colLast="0" w:name="_aag1xvkbplms" w:id="7"/>
      <w:bookmarkEnd w:id="7"/>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rFonts w:ascii="Arial" w:cs="Arial" w:eastAsia="Arial" w:hAnsi="Arial"/>
        <w:color w:val="231f20"/>
        <w:sz w:val="18"/>
        <w:szCs w:val="18"/>
      </w:rPr>
    </w:pPr>
    <w:r w:rsidDel="00000000" w:rsidR="00000000" w:rsidRPr="00000000">
      <w:rPr>
        <w:sz w:val="14"/>
        <w:szCs w:val="14"/>
        <w:rtl w:val="0"/>
      </w:rPr>
      <w:t xml:space="preserve">Les informations et images présentent sur cette page n’appartiennent pas à Solution T.D Inc, elles appartiennent à la compagnie </w:t>
    </w:r>
    <w:r w:rsidDel="00000000" w:rsidR="00000000" w:rsidRPr="00000000">
      <w:rPr>
        <w:rFonts w:ascii="Arial" w:cs="Arial" w:eastAsia="Arial" w:hAnsi="Arial"/>
        <w:color w:val="231f20"/>
        <w:sz w:val="18"/>
        <w:szCs w:val="18"/>
        <w:rtl w:val="0"/>
      </w:rPr>
      <w:t xml:space="preserve">Alu-Rex.</w:t>
    </w:r>
  </w:p>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Style w:val="Subtitle"/>
      <w:pageBreakBefore w:val="0"/>
      <w:pBdr>
        <w:top w:space="0" w:sz="0" w:val="nil"/>
        <w:left w:space="0" w:sz="0" w:val="nil"/>
        <w:bottom w:space="0" w:sz="0" w:val="nil"/>
        <w:right w:space="0" w:sz="0" w:val="nil"/>
        <w:between w:space="0" w:sz="0" w:val="nil"/>
      </w:pBdr>
      <w:shd w:fill="auto" w:val="clear"/>
      <w:spacing w:before="600" w:lineRule="auto"/>
      <w:ind w:right="0"/>
      <w:jc w:val="right"/>
      <w:rPr/>
    </w:pPr>
    <w:bookmarkStart w:colFirst="0" w:colLast="0" w:name="_9nvcibv3gama" w:id="8"/>
    <w:bookmarkEnd w:id="8"/>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5781675</wp:posOffset>
          </wp:positionH>
          <wp:positionV relativeFrom="paragraph">
            <wp:posOffset>47626</wp:posOffset>
          </wp:positionV>
          <wp:extent cx="987575" cy="7858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7575" cy="785813"/>
                  </a:xfrm>
                  <a:prstGeom prst="rect"/>
                  <a:ln/>
                </pic:spPr>
              </pic:pic>
            </a:graphicData>
          </a:graphic>
        </wp:anchor>
      </w:drawing>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Style w:val="Heading2"/>
      <w:spacing w:before="600" w:line="288" w:lineRule="auto"/>
      <w:rPr/>
    </w:pPr>
    <w:bookmarkStart w:colFirst="0" w:colLast="0" w:name="_5ye4bjilzwyg" w:id="9"/>
    <w:bookmarkEnd w:id="9"/>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5886450</wp:posOffset>
          </wp:positionH>
          <wp:positionV relativeFrom="paragraph">
            <wp:posOffset>47626</wp:posOffset>
          </wp:positionV>
          <wp:extent cx="987575" cy="785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7575" cy="785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fr"/>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before="200" w:line="24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